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79"/>
        <w:tblW w:w="9311" w:type="dxa"/>
        <w:tblLayout w:type="fixed"/>
        <w:tblLook w:val="04A0" w:firstRow="1" w:lastRow="0" w:firstColumn="1" w:lastColumn="0" w:noHBand="0" w:noVBand="1"/>
      </w:tblPr>
      <w:tblGrid>
        <w:gridCol w:w="2361"/>
        <w:gridCol w:w="1711"/>
        <w:gridCol w:w="2507"/>
        <w:gridCol w:w="2732"/>
      </w:tblGrid>
      <w:tr w:rsidR="00770B47" w:rsidRPr="001531A0" w14:paraId="7B981963" w14:textId="77777777" w:rsidTr="00076C56">
        <w:trPr>
          <w:trHeight w:val="1220"/>
        </w:trPr>
        <w:tc>
          <w:tcPr>
            <w:tcW w:w="2361" w:type="dxa"/>
          </w:tcPr>
          <w:p w14:paraId="496D2E8A" w14:textId="77777777" w:rsidR="00770B47" w:rsidRPr="001531A0" w:rsidRDefault="00770B47" w:rsidP="0007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Hlk134012053"/>
            <w:r w:rsidRPr="001531A0">
              <w:rPr>
                <w:rFonts w:ascii="Arial Narrow" w:eastAsia="Times New Roman" w:hAnsi="Arial Narrow" w:cs="Times New Roman"/>
                <w:b/>
                <w:noProof/>
                <w:sz w:val="28"/>
                <w:szCs w:val="24"/>
                <w:lang w:eastAsia="fr-FR"/>
              </w:rPr>
              <w:drawing>
                <wp:inline distT="0" distB="0" distL="0" distR="0" wp14:anchorId="2E4898B8" wp14:editId="3217922D">
                  <wp:extent cx="552450" cy="7429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bottom"/>
          </w:tcPr>
          <w:p w14:paraId="7C9F4FBA" w14:textId="77777777" w:rsidR="00770B47" w:rsidRPr="001531A0" w:rsidRDefault="00770B47" w:rsidP="0007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7" w:type="dxa"/>
            <w:vAlign w:val="center"/>
          </w:tcPr>
          <w:p w14:paraId="06C28C7C" w14:textId="77777777" w:rsidR="00770B47" w:rsidRPr="001531A0" w:rsidRDefault="00770B47" w:rsidP="0007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31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D4F9F30" wp14:editId="029AE249">
                  <wp:simplePos x="0" y="0"/>
                  <wp:positionH relativeFrom="column">
                    <wp:posOffset>-475615</wp:posOffset>
                  </wp:positionH>
                  <wp:positionV relativeFrom="paragraph">
                    <wp:posOffset>-12065</wp:posOffset>
                  </wp:positionV>
                  <wp:extent cx="524510" cy="673100"/>
                  <wp:effectExtent l="0" t="0" r="8890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2" w:type="dxa"/>
            <w:vAlign w:val="center"/>
          </w:tcPr>
          <w:p w14:paraId="7094128A" w14:textId="77777777" w:rsidR="00770B47" w:rsidRPr="001531A0" w:rsidRDefault="00770B47" w:rsidP="0007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31A0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AE7C8F0" wp14:editId="18E3A5B5">
                  <wp:extent cx="1136650" cy="571500"/>
                  <wp:effectExtent l="0" t="0" r="635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512E27A" w14:textId="77777777" w:rsidR="00770B47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 xml:space="preserve">                   </w:t>
      </w:r>
    </w:p>
    <w:p w14:paraId="1087315F" w14:textId="77777777" w:rsidR="00770B47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 xml:space="preserve">       </w:t>
      </w:r>
    </w:p>
    <w:p w14:paraId="2D7DD531" w14:textId="77777777" w:rsidR="00770B47" w:rsidRPr="00D55BC1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REPUBLIQUE TOGOLAISE</w:t>
      </w:r>
    </w:p>
    <w:p w14:paraId="4F687DCF" w14:textId="77777777" w:rsidR="00770B47" w:rsidRPr="00D55BC1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************</w:t>
      </w:r>
    </w:p>
    <w:p w14:paraId="76AF5333" w14:textId="77777777" w:rsidR="00770B47" w:rsidRPr="00D55BC1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MINISTERE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L’EAU ET DE L’ASSAINISSEMENT</w:t>
      </w: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p w14:paraId="3F17C609" w14:textId="77777777" w:rsidR="00770B47" w:rsidRPr="00D55BC1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*****************</w:t>
      </w:r>
    </w:p>
    <w:p w14:paraId="0E152083" w14:textId="77777777" w:rsidR="00770B47" w:rsidRPr="00D55BC1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SOCIETE DE PATRIMOINE EAU ET ASSAINISSEMENT EN MILIEUX URBAIN ET SEMI-URBAIN</w:t>
      </w:r>
    </w:p>
    <w:p w14:paraId="5B8D01E1" w14:textId="77777777" w:rsidR="00770B47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****************</w:t>
      </w:r>
    </w:p>
    <w:p w14:paraId="4B8DE8BC" w14:textId="77777777" w:rsidR="00770B47" w:rsidRPr="00D55BC1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263F87" w14:textId="77777777" w:rsidR="00770B47" w:rsidRPr="00D55BC1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17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PROJET DE RENFORCEMENT DE LA COHESION SOCIALE (PRECOS)</w:t>
      </w:r>
    </w:p>
    <w:p w14:paraId="3C5FDF9B" w14:textId="77777777" w:rsidR="00770B47" w:rsidRPr="006145EC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1214AD" w14:textId="77777777" w:rsidR="00770B47" w:rsidRDefault="00770B47" w:rsidP="00770B47">
      <w:pPr>
        <w:tabs>
          <w:tab w:val="left" w:pos="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AVIS À MANIFESTATION D’INTÉRÊT</w:t>
      </w:r>
    </w:p>
    <w:p w14:paraId="61B002BE" w14:textId="77777777" w:rsidR="00770B47" w:rsidRDefault="00770B47" w:rsidP="00770B47">
      <w:pPr>
        <w:tabs>
          <w:tab w:val="left" w:pos="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38662152" w14:textId="77777777" w:rsidR="00770B47" w:rsidRPr="00B86CE4" w:rsidRDefault="00770B47" w:rsidP="00770B47">
      <w:pPr>
        <w:tabs>
          <w:tab w:val="left" w:pos="284"/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70B4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Recrutement d’une ONG pour (i) l'Information et la sensibilisation des populations sur la potabilisation de l'eau, l'hygiène et l'assainissement (ii) sensibilisation des leaders d'opinion et des populations à la base sur la cohésion sociale, les risques de catastrophes, les préventions des crises et de préparation aux situations d'urgence, le vivre ensemble et la culture de la paix</w:t>
      </w:r>
    </w:p>
    <w:p w14:paraId="411908A7" w14:textId="77777777" w:rsidR="00770B47" w:rsidRPr="00583629" w:rsidRDefault="00770B47" w:rsidP="00770B47">
      <w:pPr>
        <w:tabs>
          <w:tab w:val="left" w:pos="284"/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786DBB8B" w14:textId="77777777" w:rsidR="00770B47" w:rsidRPr="006145EC" w:rsidRDefault="00770B47" w:rsidP="00770B47">
      <w:pPr>
        <w:tabs>
          <w:tab w:val="left" w:pos="284"/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eastAsia="ar-SA"/>
        </w:rPr>
      </w:pPr>
    </w:p>
    <w:p w14:paraId="24C0AB46" w14:textId="77777777" w:rsidR="00770B47" w:rsidRPr="006145EC" w:rsidRDefault="00770B47" w:rsidP="00770B47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Secteur : </w:t>
      </w:r>
      <w:r w:rsidRPr="00CE425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Multi - Secteur/ Gouvernance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(eau et assainissement)</w:t>
      </w:r>
    </w:p>
    <w:p w14:paraId="0E7765F0" w14:textId="00DB7CE5" w:rsidR="00770B47" w:rsidRPr="006145EC" w:rsidRDefault="00770B47" w:rsidP="00770B47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Date de lancement de l’Avis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  <w:t xml:space="preserve">: 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  <w:t>…</w:t>
      </w:r>
      <w:r w:rsidR="00792FF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11 Août 2025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</w:t>
      </w:r>
      <w:r w:rsidR="00792FF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</w:t>
      </w:r>
    </w:p>
    <w:p w14:paraId="158E62EF" w14:textId="26A6E7FB" w:rsidR="00770B47" w:rsidRPr="006145EC" w:rsidRDefault="00770B47" w:rsidP="00770B47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Date de clôture de l’Avis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  <w:t>: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="00792FF7"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</w:t>
      </w:r>
      <w:r w:rsidR="00792FF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27</w:t>
      </w:r>
      <w:r w:rsidR="00792FF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Août 2025</w:t>
      </w:r>
      <w:r w:rsidR="00792FF7"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</w:t>
      </w:r>
      <w:r w:rsidR="00792FF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</w:t>
      </w:r>
    </w:p>
    <w:p w14:paraId="12762DE3" w14:textId="1E31286B" w:rsidR="00770B47" w:rsidRPr="00363619" w:rsidRDefault="00770B47" w:rsidP="00770B47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AMI N°</w:t>
      </w: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  <w:t xml:space="preserve">: </w:t>
      </w: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="00792FF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05</w:t>
      </w:r>
      <w:r w:rsidRPr="0036361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/2025/SP-EAU/DG/PRECOS/Coord/PRMP/SPM</w:t>
      </w:r>
    </w:p>
    <w:p w14:paraId="5ACB26BE" w14:textId="77777777" w:rsidR="00770B47" w:rsidRDefault="00770B47" w:rsidP="00770B47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N° du projet : </w:t>
      </w:r>
      <w:r w:rsidRPr="00647CD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P-TG-IZ0-004</w:t>
      </w:r>
    </w:p>
    <w:p w14:paraId="3E9A3997" w14:textId="77777777" w:rsidR="00770B47" w:rsidRPr="006145EC" w:rsidRDefault="00770B47" w:rsidP="00770B47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N° du don FA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D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 :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5900155018309</w:t>
      </w:r>
    </w:p>
    <w:p w14:paraId="3DA02548" w14:textId="77777777" w:rsidR="00770B47" w:rsidRPr="006145EC" w:rsidRDefault="00770B47" w:rsidP="00770B4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C30350" w14:textId="77777777" w:rsidR="00770B47" w:rsidRPr="006145EC" w:rsidRDefault="00770B47" w:rsidP="00770B4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2B62EAD5" w14:textId="77777777" w:rsidR="00770B47" w:rsidRPr="00B86CE4" w:rsidRDefault="00770B47" w:rsidP="00770B4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647CD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La République du Togo a obtenu du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Fonds Africain de D</w:t>
      </w:r>
      <w:r w:rsidRPr="00647CD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éveloppement (FAD) un don d’un million d’unités de compte</w:t>
      </w:r>
      <w:r w:rsidRPr="00647CD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(UC) en vue du financement du Projet de Renforcement de la Cohésion Sociale (PRECOS)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et a l’intention d’utiliser une partie des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fonds accordé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s au titre de ce don pour financer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les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46312D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services</w:t>
      </w:r>
      <w:r w:rsidRPr="00FC53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r</w:t>
      </w:r>
      <w:r w:rsidRPr="00770B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ecrutement d’une ONG pour (i) l'Information et la sensibilisation des populations sur la potabilisation de l'eau, l'hygiène et l'assainissement (ii) sensibilisation des leaders d'opinion et des populations à la base sur la cohésion sociale, les risques de catastrophes, les préventions des crises et de préparation aux situations d'urgence, le vivre ensemble et la culture de la paix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.</w:t>
      </w:r>
    </w:p>
    <w:p w14:paraId="0CD7ADE5" w14:textId="77777777" w:rsidR="00770B47" w:rsidRPr="00C73E2D" w:rsidRDefault="00770B47" w:rsidP="00770B47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4936ECBA" w14:textId="77777777" w:rsidR="00770B47" w:rsidRPr="006145EC" w:rsidRDefault="00770B47" w:rsidP="00810F7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services prévus au titre de ce contrat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consistent à</w:t>
      </w:r>
      <w:r w:rsidRPr="0046312D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="00510096" w:rsidRPr="0036361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(i) la sensibilisation des populations sur la potabilisation de l’eau, l’hygiène, l’assainissement et l’utilisation rationnelle des eaux et (ii) la sensibilisation des leaders d'opinion et des populations à la base</w:t>
      </w:r>
      <w:r w:rsidR="00810F73" w:rsidRPr="00810F73">
        <w:t xml:space="preserve"> </w:t>
      </w:r>
      <w:r w:rsidR="00810F73" w:rsidRPr="0036361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sur la cohésion sociale, les </w:t>
      </w:r>
      <w:r w:rsidR="00810F73" w:rsidRPr="0036361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lastRenderedPageBreak/>
        <w:t>risques de catastrophes, les préventions des crises et de préparation aux situations d'urgence, le vivre ensemble et la culture de la paix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</w:p>
    <w:p w14:paraId="5B2480CC" w14:textId="77777777" w:rsidR="00770B47" w:rsidRPr="006145EC" w:rsidRDefault="00770B47" w:rsidP="00770B4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226DFB29" w14:textId="69A3F4EC" w:rsidR="00770B47" w:rsidRPr="006145EC" w:rsidRDefault="00770B47" w:rsidP="00770B4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8900A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La Société de Patrimoine Eau et Assainissement en milieu Urbain et semi- urbain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  </w:t>
      </w:r>
      <w:r w:rsidRPr="008900A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(</w:t>
      </w:r>
      <w:proofErr w:type="gramEnd"/>
      <w:r w:rsidRPr="008900A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SP-EAU)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agissant en qualité d’organe d’exécution du projet invite les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(ONG)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à présenter leur candidature en vue de fournir les services décrits ci-dessus. 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</w:t>
      </w:r>
      <w:r w:rsidR="006E158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ONG</w:t>
      </w:r>
      <w:r w:rsidR="006E1581"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intéressé</w:t>
      </w:r>
      <w:r w:rsidR="009301BF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e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s doivent produire les informations sur leur capacité et expérience démontrant qu’ils sont qualifiés pour les prestations (documentation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 : diplômes et attestations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 référence de prestations similaires, expérience dans des missions comparables, disponibilité de personnel qualifié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(CV)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etc.). Les consultants peuvent se mettre en association pour augmenter leurs chances de qualification. </w:t>
      </w:r>
    </w:p>
    <w:p w14:paraId="704920B2" w14:textId="77777777" w:rsidR="00770B47" w:rsidRPr="006145EC" w:rsidRDefault="00770B47" w:rsidP="00770B4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40782D79" w14:textId="77777777" w:rsidR="00770B47" w:rsidRPr="006145EC" w:rsidRDefault="00770B47" w:rsidP="00770B4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critères d’éligibilité, l’établissement de la liste restreinte et la procédure de sélection seront conformes au </w:t>
      </w:r>
      <w:r w:rsidRPr="00CC4E7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« Cadre de passation des marchés pour les opérations financées par le Groupe de la Banque Africaine de Développement »</w:t>
      </w: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 Edition octobre 2015</w:t>
      </w:r>
      <w:r w:rsidRPr="005F58B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FA759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et entrée en vigueur le 1</w:t>
      </w:r>
      <w:r w:rsidRPr="00FA7594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ar-SA"/>
        </w:rPr>
        <w:t>er</w:t>
      </w:r>
      <w:r w:rsidRPr="00FA759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janvier 2016</w:t>
      </w: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 qui est disponible sur le site web de la Banque à l’adresse :</w:t>
      </w:r>
      <w:hyperlink r:id="rId8">
        <w:r w:rsidRPr="00CC4E78">
          <w:rPr>
            <w:rStyle w:val="Lienhypertexte"/>
            <w:rFonts w:ascii="Times New Roman" w:eastAsia="Times New Roman" w:hAnsi="Times New Roman" w:cs="Times New Roman"/>
            <w:spacing w:val="-2"/>
            <w:sz w:val="24"/>
            <w:szCs w:val="24"/>
            <w:lang w:eastAsia="ar-SA"/>
          </w:rPr>
          <w:t xml:space="preserve"> </w:t>
        </w:r>
      </w:hyperlink>
      <w:hyperlink r:id="rId9">
        <w:r w:rsidRPr="00CC4E78">
          <w:rPr>
            <w:rStyle w:val="Lienhypertexte"/>
            <w:rFonts w:ascii="Times New Roman" w:eastAsia="Times New Roman" w:hAnsi="Times New Roman" w:cs="Times New Roman"/>
            <w:spacing w:val="-2"/>
            <w:sz w:val="24"/>
            <w:szCs w:val="24"/>
            <w:lang w:eastAsia="ar-SA"/>
          </w:rPr>
          <w:t>http://www.afdb.org</w:t>
        </w:r>
      </w:hyperlink>
      <w:hyperlink r:id="rId10">
        <w:r w:rsidRPr="00CC4E78">
          <w:rPr>
            <w:rStyle w:val="Lienhypertexte"/>
            <w:rFonts w:ascii="Times New Roman" w:eastAsia="Times New Roman" w:hAnsi="Times New Roman" w:cs="Times New Roman"/>
            <w:spacing w:val="-2"/>
            <w:sz w:val="24"/>
            <w:szCs w:val="24"/>
            <w:lang w:eastAsia="ar-SA"/>
          </w:rPr>
          <w:t>.</w:t>
        </w:r>
      </w:hyperlink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Les Consultants (Firmes) seront classés suivant leur qualification sur la base des références fournies et jugées acceptables. Il est à noter que l’intérêt manifesté par une Firme de Consultants n’implique aucune obligation de la part de l’autorité contractante de l’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inclure sur la liste restreinte.</w:t>
      </w:r>
    </w:p>
    <w:p w14:paraId="5D754882" w14:textId="77777777" w:rsidR="00770B47" w:rsidRPr="006145EC" w:rsidRDefault="00770B47" w:rsidP="00770B4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776B7CFD" w14:textId="51F7FE6A" w:rsidR="00770B47" w:rsidRPr="006145EC" w:rsidRDefault="00770B47" w:rsidP="00770B4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</w:t>
      </w:r>
      <w:r w:rsidR="009301BF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ONG</w:t>
      </w:r>
      <w:r w:rsidR="009301BF"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intéressé</w:t>
      </w:r>
      <w:r w:rsidR="009301BF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e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s peuvent obtenir des informations supplémentaires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et les TDR 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à l'adresse mentionnée ci-dessous tous les jours ouvrables de 08h00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à 12h00 et 14h30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à 17h00 (heure locale) du lundi à vendredi.</w:t>
      </w:r>
    </w:p>
    <w:p w14:paraId="71A6E6F9" w14:textId="77777777" w:rsidR="00770B47" w:rsidRPr="006145EC" w:rsidRDefault="00770B47" w:rsidP="00770B4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2AF7E268" w14:textId="66CE5FC7" w:rsidR="00770B47" w:rsidRPr="006145EC" w:rsidRDefault="00770B47" w:rsidP="00770B4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expressions d'intérêt doivent être rédigées en français et déposées à l'adresse mentionnée ci-dessous au plus tard </w:t>
      </w:r>
      <w:r w:rsidRPr="00792F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le</w:t>
      </w:r>
      <w:r w:rsidR="00792FF7" w:rsidRPr="00792F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 </w:t>
      </w:r>
      <w:r w:rsidR="00792FF7" w:rsidRPr="00792F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27</w:t>
      </w:r>
      <w:r w:rsidR="00792FF7" w:rsidRPr="00792F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Août 202</w:t>
      </w:r>
      <w:r w:rsidR="00792FF7" w:rsidRPr="00792F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5</w:t>
      </w:r>
      <w:r w:rsidRPr="00792F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 à 10h00 heure locale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>et porter expressément la mention :</w:t>
      </w:r>
    </w:p>
    <w:p w14:paraId="02B584AE" w14:textId="77777777" w:rsidR="00770B47" w:rsidRPr="006145EC" w:rsidRDefault="00770B47" w:rsidP="00770B47">
      <w:pPr>
        <w:spacing w:after="0" w:line="265" w:lineRule="exact"/>
        <w:ind w:left="720" w:hanging="357"/>
        <w:contextualSpacing/>
        <w:rPr>
          <w:rFonts w:ascii="Calibri" w:eastAsia="Calibri" w:hAnsi="Calibri" w:cs="Times New Roman"/>
          <w:b/>
        </w:rPr>
      </w:pPr>
    </w:p>
    <w:p w14:paraId="08AFB2F9" w14:textId="77777777" w:rsidR="00770B47" w:rsidRPr="00FB778A" w:rsidRDefault="00770B47" w:rsidP="00FB778A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  <w:r w:rsidRPr="00FB77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 </w:t>
      </w:r>
      <w:r w:rsidR="00FB778A" w:rsidRPr="00FB778A">
        <w:rPr>
          <w:rFonts w:ascii="Times New Roman" w:hAnsi="Times New Roman"/>
          <w:b/>
          <w:bCs/>
          <w:color w:val="1F1F1F"/>
          <w:sz w:val="28"/>
          <w:szCs w:val="28"/>
          <w:shd w:val="clear" w:color="auto" w:fill="FFFFFF"/>
        </w:rPr>
        <w:t>Recrutement d’une ONG pour (i) l'Information et la sensibilisation des populations sur la potabilisation de l'eau, l'hygiène et l'assainissement (ii) sensibilisation des leaders d'opinion et des populations à la base sur la cohésion sociale, les risques de catastrophes, les préventions des crises et de préparation aux situations d'urgence, le vivre ensemble et la culture de la paix</w:t>
      </w:r>
      <w:r w:rsidR="00FB778A" w:rsidRPr="00FB7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7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5771B0EE" w14:textId="77777777" w:rsidR="00770B47" w:rsidRDefault="00770B47" w:rsidP="00770B47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3F9D8D51" w14:textId="77777777" w:rsidR="00770B47" w:rsidRPr="006145EC" w:rsidRDefault="00770B47" w:rsidP="00770B47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A l’attention de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la </w:t>
      </w:r>
      <w:r w:rsidRPr="006145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</w:t>
      </w:r>
    </w:p>
    <w:p w14:paraId="1A433871" w14:textId="77777777" w:rsidR="00770B47" w:rsidRPr="006145EC" w:rsidRDefault="00770B47" w:rsidP="00770B47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14:paraId="1FD8FCA0" w14:textId="77777777" w:rsidR="00770B47" w:rsidRPr="006145EC" w:rsidRDefault="00770B47" w:rsidP="00770B47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Personne Responsable des Marchés Publics</w:t>
      </w:r>
    </w:p>
    <w:p w14:paraId="62605B18" w14:textId="77777777" w:rsidR="00770B47" w:rsidRPr="006145EC" w:rsidRDefault="00770B47" w:rsidP="00770B47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Société de Patrimoine Eau et Assainissement en Milieux Urbain et Semi Urbain</w:t>
      </w:r>
    </w:p>
    <w:p w14:paraId="259380CF" w14:textId="77777777" w:rsidR="00770B47" w:rsidRDefault="00770B47" w:rsidP="00770B47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Boulevard des armées (près de pharmacie Justine)</w:t>
      </w:r>
      <w:r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BP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: 8608 Lomé-TOGO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 ; Direction Générale</w:t>
      </w:r>
      <w:r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14:paraId="26C15DEB" w14:textId="77777777" w:rsidR="00770B47" w:rsidRDefault="00770B47" w:rsidP="00770B47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Tél. :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228) 22 22 89 54</w:t>
      </w:r>
    </w:p>
    <w:p w14:paraId="633CB63E" w14:textId="77777777" w:rsidR="00770B47" w:rsidRPr="000A15EC" w:rsidRDefault="00770B47" w:rsidP="00770B47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E-mail : </w:t>
      </w:r>
      <w:r w:rsidRPr="00E85CA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parcem28@gmail.com/amissihu@yahoo.com/sp-eau@sp-eau.tg</w:t>
      </w:r>
    </w:p>
    <w:p w14:paraId="2B28595E" w14:textId="77777777" w:rsidR="00770B47" w:rsidRPr="006145EC" w:rsidRDefault="00770B47" w:rsidP="00770B47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ar-SA"/>
        </w:rPr>
      </w:pPr>
    </w:p>
    <w:p w14:paraId="45F933C1" w14:textId="77777777" w:rsidR="00770B47" w:rsidRPr="006145EC" w:rsidRDefault="00770B47" w:rsidP="00770B4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04434D55" w14:textId="70A2AA82" w:rsidR="00770B47" w:rsidRPr="006145EC" w:rsidRDefault="00770B47" w:rsidP="00770B47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>Fait à Lomé, le</w:t>
      </w:r>
      <w:r w:rsidR="00792F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92FF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11 Août 2025</w:t>
      </w:r>
    </w:p>
    <w:p w14:paraId="24FA5DAB" w14:textId="77777777" w:rsidR="00770B47" w:rsidRPr="006145EC" w:rsidRDefault="00770B47" w:rsidP="00770B47">
      <w:pPr>
        <w:tabs>
          <w:tab w:val="left" w:pos="284"/>
        </w:tabs>
        <w:suppressAutoHyphens/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18"/>
          <w:szCs w:val="26"/>
          <w:lang w:eastAsia="ar-SA"/>
        </w:rPr>
      </w:pPr>
    </w:p>
    <w:p w14:paraId="48E082BF" w14:textId="25F1FFD3" w:rsidR="00770B47" w:rsidRPr="00792FF7" w:rsidRDefault="00770B47" w:rsidP="00792FF7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92F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>La Personne Responsable des Marchés Publics</w:t>
      </w:r>
    </w:p>
    <w:p w14:paraId="6804B16D" w14:textId="77777777" w:rsidR="00770B47" w:rsidRPr="00792FF7" w:rsidRDefault="00770B47" w:rsidP="00770B47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10"/>
          <w:szCs w:val="10"/>
          <w:lang w:eastAsia="ar-SA"/>
        </w:rPr>
      </w:pPr>
    </w:p>
    <w:p w14:paraId="17178CD9" w14:textId="77777777" w:rsidR="004513C5" w:rsidRDefault="00770B47" w:rsidP="00FB778A">
      <w:pPr>
        <w:tabs>
          <w:tab w:val="left" w:pos="284"/>
        </w:tabs>
        <w:suppressAutoHyphens/>
        <w:spacing w:after="0" w:line="276" w:lineRule="auto"/>
        <w:jc w:val="both"/>
      </w:pP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Kwami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Sefiamo</w:t>
      </w:r>
      <w:proofErr w:type="spellEnd"/>
      <w:r w:rsidRPr="0004437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 xml:space="preserve"> DZINAKU</w:t>
      </w:r>
    </w:p>
    <w:sectPr w:rsidR="004513C5" w:rsidSect="00C26611">
      <w:pgSz w:w="11906" w:h="16838"/>
      <w:pgMar w:top="1135" w:right="1133" w:bottom="851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5C10"/>
    <w:multiLevelType w:val="hybridMultilevel"/>
    <w:tmpl w:val="2A56839A"/>
    <w:lvl w:ilvl="0" w:tplc="D264C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8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47"/>
    <w:rsid w:val="00363619"/>
    <w:rsid w:val="004513C5"/>
    <w:rsid w:val="00510096"/>
    <w:rsid w:val="006143A9"/>
    <w:rsid w:val="006E1581"/>
    <w:rsid w:val="006F4D8E"/>
    <w:rsid w:val="00770B47"/>
    <w:rsid w:val="00792FF7"/>
    <w:rsid w:val="00810F73"/>
    <w:rsid w:val="00822BF0"/>
    <w:rsid w:val="009115DF"/>
    <w:rsid w:val="009301BF"/>
    <w:rsid w:val="00AD0DBF"/>
    <w:rsid w:val="00F377F0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91CA"/>
  <w15:chartTrackingRefBased/>
  <w15:docId w15:val="{CC96B078-23D8-4565-9CBB-705CF542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0B47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822BF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513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13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13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13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13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db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fd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db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Amah Asiwome MISSIHU</dc:creator>
  <cp:keywords/>
  <dc:description/>
  <cp:lastModifiedBy>HP</cp:lastModifiedBy>
  <cp:revision>9</cp:revision>
  <dcterms:created xsi:type="dcterms:W3CDTF">2025-07-29T16:10:00Z</dcterms:created>
  <dcterms:modified xsi:type="dcterms:W3CDTF">2025-08-11T13:16:00Z</dcterms:modified>
</cp:coreProperties>
</file>